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74" w:rsidRPr="0036119E" w:rsidRDefault="008E2474" w:rsidP="008E2474">
      <w:pPr>
        <w:widowControl/>
        <w:spacing w:before="120"/>
        <w:jc w:val="both"/>
        <w:rPr>
          <w:rFonts w:ascii="Times New Roman" w:hAnsi="Times New Roman" w:cs="Times New Roman"/>
          <w:color w:val="auto"/>
          <w:lang w:val="en-US" w:eastAsia="en-US"/>
        </w:rPr>
      </w:pPr>
      <w:bookmarkStart w:id="0" w:name="dieu_76"/>
      <w:r w:rsidRPr="0036119E">
        <w:rPr>
          <w:rFonts w:ascii="Times New Roman" w:hAnsi="Times New Roman" w:cs="Times New Roman"/>
          <w:b/>
          <w:bCs/>
          <w:color w:val="auto"/>
          <w:lang w:eastAsia="en-US"/>
        </w:rPr>
        <w:t>Điều 76. Hồ sơ đề nghị cấp chứng chỉ hành nghề hoạt động xây dựng</w:t>
      </w:r>
      <w:bookmarkEnd w:id="0"/>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1. Hồ sơ đề nghị cấp chứng chỉ hành nghề lần đầu, điều chỉnh hạng chứng chỉ, gia hạn chứng chỉ hành nghề, bao gồm: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a) Đơn đề nghị cấp chứng chỉ hành nghề theo Mẫu số 01 Phụ lục IV Nghị định này;</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b) 02 ảnh màu cỡ 4 x 6 cm và tệp tin ảnh có nền màu trắng chân dung của người đề nghị được chụp trong thời gian không quá 06 tháng;</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c) Văn bằng do cơ sở đào tạo hợp pháp cấp phù hợp với loại, hạng chứng chỉ đề nghị cấp;</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Đối với văn bằng do cơ sở đào tạo nước ngoài cấp, phải là bản được hợp pháp hóa lãnh sự theo quy định và phải có bản dịch sang tiếng Việt được công chứng, chứng thực theo quy định của pháp luật Việt Nam;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d) Chứng chỉ hành nghề đã được cơ quan có thẩm quyền cấp trong trường hợp đề nghị điều chỉnh hạng, gia hạn chứng chỉ hành nghề;</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đ)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e) Giấy tờ hợp pháp về cư trú hoặc giấy phép lao động do cơ quan có thẩm quyền của Việt Nam cấp đối với trường hợp cá nhân là người nước ngoài;</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g) Bản sao kết quả sát hạch đạt yêu cầu trong trường hợp đã sát hạch trước ngày nộp hồ sơ đề nghị cấp chứng chỉ hành nghề;</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h) Các tài liệu theo quy định tại các điểm c, d, đ và e khoản này phải là bản sao có chứng thực hoặc tệp tin chứa ảnh màu chụp từ bản chính hoặc bản sao, xuất trình bản chính để đối chiếu.</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2. Hồ sơ đề nghị cấp lại chứng chỉ hành nghề bao gồm: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a) Đơn đề nghị cấp chứng chỉ hành nghề theo Mẫu số 01 Phụ lục IV Nghị định này;</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b) 02 ảnh màu cỡ 4 x 6 cm và tệp tin ảnh có nền màu trắng chân dung của người đề nghị được chụp trong thời gian không quá 06 tháng;</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c) Bản gốc chứng chỉ hành nghề còn thời hạn nhưng bị hư hỏng hoặc bị ghi sai thông tin. Trường hợp bị mất chứng chỉ hành nghề thì phải có cam kết của người đề nghị cấp lại;</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d) Các tài liệu theo quy định tại điểm c, điểm đ và điểm e khoản 1 Điều này trong trường hợp cấp lại chứng chỉ nhưng lĩnh vực cấp có thay đổi nội dung theo quy định tại Nghị định này;</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đ) Các tài liệu theo quy định tại điểm c, điểm d khoản này phải là bản sao có chứng thực hoặc tệp tin chứa ảnh màu chụp từ bản chính hoặc bản sao, xuất trình bản chính để đối chiếu.</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3. Hồ sơ đề nghị điều chỉnh, bổ sung nội dung chứng chỉ hành nghề bao gồm: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 xml:space="preserve">a) Đơn đề nghị cấp chứng chỉ hành nghề theo Mẫu số 01 Phụ lục IV Nghị định này;  </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b) 02 ảnh màu cỡ 4 x 6 cm và tệp tin ảnh có nền màu trắng chân dung của người đề nghị được chụp trong thời gian không quá 06 tháng;</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c) Các tài liệu liên quan đến nội dung đề nghị điều chỉnh, bổ sung theo quy định tại khoản 1 Điều này và bản gốc chứng chỉ hành nghề đã được cấp.</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4. Hồ sơ đề nghị chuyển đổi chứng chỉ hành nghề bao gồm: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a) Đơn đề nghị chuyển đổi chứng chỉ hành nghề theo Mẫu số 03 Phụ lục IV Nghị định này;</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lastRenderedPageBreak/>
        <w:t>b) 02 ảnh màu cỡ 4 x 6 cm và tệp tin ảnh có nền màu trắng chân dung của người đề nghị được chụp trong thời gian không quá 06 tháng;</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c) Bản sao văn bằng được đào tạo, chứng chỉ hành nghề do cơ quan, tổ chức nước ngoài cấp đã được hợp pháp hóa lãnh sự, dịch ra tiếng Việt và được công chứng, chứng thực theo quy định của pháp luật Việt Nam;</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d)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rsidR="008E2474" w:rsidRPr="0036119E" w:rsidRDefault="008E2474" w:rsidP="008E2474">
      <w:pPr>
        <w:widowControl/>
        <w:spacing w:before="120"/>
        <w:jc w:val="both"/>
        <w:rPr>
          <w:rFonts w:ascii="Times New Roman" w:hAnsi="Times New Roman" w:cs="Times New Roman"/>
          <w:color w:val="auto"/>
          <w:lang w:val="en-US" w:eastAsia="en-US"/>
        </w:rPr>
      </w:pPr>
      <w:r w:rsidRPr="0036119E">
        <w:rPr>
          <w:rFonts w:ascii="Times New Roman" w:hAnsi="Times New Roman" w:cs="Times New Roman"/>
          <w:color w:val="auto"/>
          <w:lang w:eastAsia="en-US"/>
        </w:rPr>
        <w:t>5. Cá nhân thực hiện nộp lệ phí khi nộp hồ sơ đề nghị cấp chứng chỉ hành nghề. Việc thu, nộp, quản lý sử dụng lệ phí cấp chứng chỉ hành nghề thực hiện theo quy định của Bộ Tài chính.</w:t>
      </w:r>
    </w:p>
    <w:p w:rsidR="00D03D1F" w:rsidRDefault="00D03D1F">
      <w:bookmarkStart w:id="1" w:name="_GoBack"/>
      <w:bookmarkEnd w:id="1"/>
    </w:p>
    <w:sectPr w:rsidR="00D03D1F" w:rsidSect="000D133D">
      <w:pgSz w:w="11907" w:h="16840" w:code="9"/>
      <w:pgMar w:top="1134" w:right="1134" w:bottom="1134" w:left="1701" w:header="454"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74"/>
    <w:rsid w:val="000D133D"/>
    <w:rsid w:val="00426A09"/>
    <w:rsid w:val="008E2474"/>
    <w:rsid w:val="00D0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03C7E-995E-486A-A589-B6BA243D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7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Dell_PC</cp:lastModifiedBy>
  <cp:revision>1</cp:revision>
  <dcterms:created xsi:type="dcterms:W3CDTF">2022-05-12T02:49:00Z</dcterms:created>
  <dcterms:modified xsi:type="dcterms:W3CDTF">2022-05-12T02:50:00Z</dcterms:modified>
</cp:coreProperties>
</file>